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1133.8582677165355" w:right="-562.7952755905511" w:firstLine="0"/>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Bases del Llamado: Despegue Científico - PROGRAMA IMPULSO 2025</w:t>
      </w:r>
    </w:p>
    <w:p w:rsidR="00000000" w:rsidDel="00000000" w:rsidP="00000000" w:rsidRDefault="00000000" w:rsidRPr="00000000" w14:paraId="00000002">
      <w:pPr>
        <w:spacing w:line="276" w:lineRule="auto"/>
        <w:ind w:left="-1133.8582677165355" w:right="-562.7952755905511"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after="0" w:line="276" w:lineRule="auto"/>
        <w:ind w:left="-1133.8582677165355" w:right="-562.795275590551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PEDECIBA llama a investigadoras e investigadores grado 3 del Programa residentes en Uruguay a presentar propuestas de un año de duración para ser apoyadas en el marco del Programa Impulso. Este llamado tiene por objetivo apoyar a investigadoras e investigadores que comienzan su trabajo independiente y que aspiran a continuar actividades de investigación en Uruguay para consolidar su carrera académica.</w:t>
      </w:r>
    </w:p>
    <w:p w:rsidR="00000000" w:rsidDel="00000000" w:rsidP="00000000" w:rsidRDefault="00000000" w:rsidRPr="00000000" w14:paraId="00000004">
      <w:pPr>
        <w:spacing w:after="0" w:line="276" w:lineRule="auto"/>
        <w:ind w:left="-1133.8582677165355" w:right="-562.795275590551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Quienes aspiren deberán haber ingresado como investigadores al PEDECIBA con fecha posterior al 31 de diciembre de 2017 y no haber sido beneficiarios del programa Despegue Científico </w:t>
      </w:r>
      <w:sdt>
        <w:sdtPr>
          <w:tag w:val="goog_rdk_0"/>
        </w:sdtPr>
        <w:sdtContent>
          <w:commentRangeStart w:id="0"/>
        </w:sdtContent>
      </w:sdt>
      <w:r w:rsidDel="00000000" w:rsidR="00000000" w:rsidRPr="00000000">
        <w:rPr>
          <w:rFonts w:ascii="Arial" w:cs="Arial" w:eastAsia="Arial" w:hAnsi="Arial"/>
          <w:sz w:val="22"/>
          <w:szCs w:val="22"/>
          <w:rtl w:val="0"/>
        </w:rPr>
        <w:t xml:space="preserve">2023</w:t>
      </w:r>
      <w:commentRangeEnd w:id="0"/>
      <w:r w:rsidDel="00000000" w:rsidR="00000000" w:rsidRPr="00000000">
        <w:commentReference w:id="0"/>
      </w:r>
      <w:r w:rsidDel="00000000" w:rsidR="00000000" w:rsidRPr="00000000">
        <w:rPr>
          <w:rFonts w:ascii="Arial" w:cs="Arial" w:eastAsia="Arial" w:hAnsi="Arial"/>
          <w:sz w:val="22"/>
          <w:szCs w:val="22"/>
          <w:rtl w:val="0"/>
        </w:rPr>
        <w:t xml:space="preserve">. Se priorizará a aquellos postulantes que no tengan financiación alguna para su trabajo de investigación incluyendo la partida de gastos que reciben los investigadores con régimen de dedicación total u otra partida de gastos excluida la alícuota estándar de PEDECIBA. </w:t>
      </w:r>
    </w:p>
    <w:p w:rsidR="00000000" w:rsidDel="00000000" w:rsidP="00000000" w:rsidRDefault="00000000" w:rsidRPr="00000000" w14:paraId="00000005">
      <w:pPr>
        <w:spacing w:after="0" w:line="276" w:lineRule="auto"/>
        <w:ind w:left="-1133.8582677165355" w:right="-562.795275590551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apoyo económico es una partida única de $80.000 (ochenta mil pesos uruguayos) utilizable para todo tipo de gastos de investigación. La misma deberá ser ejecutada en el plazo de un año a partir del momento de la aprobación en Comisión Directiva. </w:t>
      </w:r>
    </w:p>
    <w:p w:rsidR="00000000" w:rsidDel="00000000" w:rsidP="00000000" w:rsidRDefault="00000000" w:rsidRPr="00000000" w14:paraId="00000006">
      <w:pPr>
        <w:spacing w:after="153" w:line="276" w:lineRule="auto"/>
        <w:ind w:left="-1133.8582677165355" w:right="-562.795275590551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postular se deberá presentar:</w:t>
      </w:r>
    </w:p>
    <w:p w:rsidR="00000000" w:rsidDel="00000000" w:rsidP="00000000" w:rsidRDefault="00000000" w:rsidRPr="00000000" w14:paraId="00000007">
      <w:pPr>
        <w:numPr>
          <w:ilvl w:val="0"/>
          <w:numId w:val="2"/>
        </w:numPr>
        <w:spacing w:after="153" w:line="276" w:lineRule="auto"/>
        <w:ind w:left="-1133.8582677165355" w:right="-562.7952755905511" w:firstLine="0"/>
        <w:jc w:val="both"/>
        <w:rPr/>
      </w:pPr>
      <w:r w:rsidDel="00000000" w:rsidR="00000000" w:rsidRPr="00000000">
        <w:rPr>
          <w:rFonts w:ascii="Arial" w:cs="Arial" w:eastAsia="Arial" w:hAnsi="Arial"/>
          <w:sz w:val="22"/>
          <w:szCs w:val="22"/>
          <w:rtl w:val="0"/>
        </w:rPr>
        <w:t xml:space="preserve">Un currículum completo (formato CVuy, CSIC o similar).</w:t>
      </w:r>
      <w:r w:rsidDel="00000000" w:rsidR="00000000" w:rsidRPr="00000000">
        <w:rPr>
          <w:rtl w:val="0"/>
        </w:rPr>
      </w:r>
    </w:p>
    <w:p w:rsidR="00000000" w:rsidDel="00000000" w:rsidP="00000000" w:rsidRDefault="00000000" w:rsidRPr="00000000" w14:paraId="00000008">
      <w:pPr>
        <w:numPr>
          <w:ilvl w:val="0"/>
          <w:numId w:val="2"/>
        </w:numPr>
        <w:spacing w:after="153" w:line="276" w:lineRule="auto"/>
        <w:ind w:left="-1133.8582677165355" w:right="-562.7952755905511" w:firstLine="0"/>
        <w:jc w:val="both"/>
        <w:rPr/>
      </w:pPr>
      <w:r w:rsidDel="00000000" w:rsidR="00000000" w:rsidRPr="00000000">
        <w:rPr>
          <w:rFonts w:ascii="Arial" w:cs="Arial" w:eastAsia="Arial" w:hAnsi="Arial"/>
          <w:sz w:val="22"/>
          <w:szCs w:val="22"/>
          <w:rtl w:val="0"/>
        </w:rPr>
        <w:t xml:space="preserve">Una breve descripción del proyecto incluyendo: objetivos, resultados esperados y plan de ejecución de fondos. La extensión máxima del proyecto debe ser tres (3) carillas tamaño A4 (fuente Arial 11, interlineado 1,15) más hasta una (1) carilla de referencias.</w:t>
      </w:r>
      <w:r w:rsidDel="00000000" w:rsidR="00000000" w:rsidRPr="00000000">
        <w:rPr>
          <w:rtl w:val="0"/>
        </w:rPr>
      </w:r>
    </w:p>
    <w:p w:rsidR="00000000" w:rsidDel="00000000" w:rsidP="00000000" w:rsidRDefault="00000000" w:rsidRPr="00000000" w14:paraId="00000009">
      <w:pPr>
        <w:spacing w:after="153" w:line="276" w:lineRule="auto"/>
        <w:ind w:left="-1133.8582677165355" w:right="-562.7952755905511"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solicitudes que se presenten serán evaluadas por comisiones asesoras de cada Área. Estas comisiones confeccionarán listas de las postulaciones que cumplan con todos los requisitos del llamado y las remitirán a la Comisión Directiva que seleccionará las postulaciones apoyadas en un sorteo público. Este sorteo se realizará teniendo en cuenta:</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1275.5905511811022" w:right="-562.7952755905511" w:firstLine="283.46456692913375"/>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Política de Áreas:</w:t>
      </w:r>
      <w:r w:rsidDel="00000000" w:rsidR="00000000" w:rsidRPr="00000000">
        <w:rPr>
          <w:rFonts w:ascii="Arial" w:cs="Arial" w:eastAsia="Arial" w:hAnsi="Arial"/>
          <w:sz w:val="22"/>
          <w:szCs w:val="22"/>
          <w:rtl w:val="0"/>
        </w:rPr>
        <w:t xml:space="preserve"> Número de apoyos por Área será proporcional al número de postulantes.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76" w:lineRule="auto"/>
        <w:ind w:left="-1275.5905511811022" w:right="-562.7952755905511" w:firstLine="283.46456692913375"/>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Política de Género: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C">
      <w:pPr>
        <w:numPr>
          <w:ilvl w:val="1"/>
          <w:numId w:val="1"/>
        </w:numPr>
        <w:spacing w:after="0" w:line="276" w:lineRule="auto"/>
        <w:ind w:left="-283.46456692913375" w:right="-562.7952755905511"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 las Áreas Matemática, Física e Informática, se apoyará inicialmente a investigadoras y de existir un remanente, irá a sorteo entre los investigadores. </w:t>
      </w:r>
      <w:r w:rsidDel="00000000" w:rsidR="00000000" w:rsidRPr="00000000">
        <w:rPr>
          <w:rtl w:val="0"/>
        </w:rPr>
      </w:r>
    </w:p>
    <w:p w:rsidR="00000000" w:rsidDel="00000000" w:rsidP="00000000" w:rsidRDefault="00000000" w:rsidRPr="00000000" w14:paraId="0000000D">
      <w:pPr>
        <w:numPr>
          <w:ilvl w:val="1"/>
          <w:numId w:val="1"/>
        </w:numPr>
        <w:spacing w:after="0" w:line="276" w:lineRule="auto"/>
        <w:ind w:left="-283.46456692913375" w:right="-562.7952755905511" w:hanging="360"/>
        <w:jc w:val="both"/>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 las Áreas Biología, Geociencias y Química se apoyará a investigadoras e investigadores en igual proporción a la que se observe entre las postulaciones.</w:t>
      </w:r>
      <w:r w:rsidDel="00000000" w:rsidR="00000000" w:rsidRPr="00000000">
        <w:rPr>
          <w:rtl w:val="0"/>
        </w:rPr>
      </w:r>
    </w:p>
    <w:p w:rsidR="00000000" w:rsidDel="00000000" w:rsidP="00000000" w:rsidRDefault="00000000" w:rsidRPr="00000000" w14:paraId="0000000E">
      <w:pPr>
        <w:numPr>
          <w:ilvl w:val="0"/>
          <w:numId w:val="1"/>
        </w:numPr>
        <w:tabs>
          <w:tab w:val="center" w:leader="none" w:pos="4252"/>
          <w:tab w:val="right" w:leader="none" w:pos="8504"/>
        </w:tabs>
        <w:spacing w:after="200" w:line="276" w:lineRule="auto"/>
        <w:ind w:left="-1275.5905511811022" w:right="-562.7952755905511" w:firstLine="283.46456692913375"/>
        <w:jc w:val="both"/>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Política Geográfica:</w:t>
      </w:r>
      <w:r w:rsidDel="00000000" w:rsidR="00000000" w:rsidRPr="00000000">
        <w:rPr>
          <w:rFonts w:ascii="Arial" w:cs="Arial" w:eastAsia="Arial" w:hAnsi="Arial"/>
          <w:sz w:val="22"/>
          <w:szCs w:val="22"/>
          <w:rtl w:val="0"/>
        </w:rPr>
        <w:t xml:space="preserve"> cada Área definirá su política de equidad territorial.</w:t>
      </w:r>
      <w:r w:rsidDel="00000000" w:rsidR="00000000" w:rsidRPr="00000000">
        <w:rPr>
          <w:rFonts w:ascii="Arial" w:cs="Arial" w:eastAsia="Arial" w:hAnsi="Arial"/>
          <w:sz w:val="22"/>
          <w:szCs w:val="22"/>
          <w:vertAlign w:val="superscript"/>
          <w:rtl w:val="0"/>
        </w:rPr>
        <w:t xml:space="preserve">1</w:t>
      </w:r>
      <w:r w:rsidDel="00000000" w:rsidR="00000000" w:rsidRPr="00000000">
        <w:rPr>
          <w:rtl w:val="0"/>
        </w:rPr>
      </w:r>
    </w:p>
    <w:p w:rsidR="00000000" w:rsidDel="00000000" w:rsidP="00000000" w:rsidRDefault="00000000" w:rsidRPr="00000000" w14:paraId="0000000F">
      <w:pPr>
        <w:spacing w:after="153" w:line="276" w:lineRule="auto"/>
        <w:ind w:left="-1133.8582677165355" w:right="-562.7952755905511" w:firstLine="0"/>
        <w:jc w:val="both"/>
        <w:rPr>
          <w:rFonts w:ascii="Arial" w:cs="Arial" w:eastAsia="Arial" w:hAnsi="Arial"/>
          <w:b w:val="1"/>
          <w:i w:val="1"/>
          <w:sz w:val="22"/>
          <w:szCs w:val="22"/>
        </w:rPr>
      </w:pPr>
      <w:r w:rsidDel="00000000" w:rsidR="00000000" w:rsidRPr="00000000">
        <w:rPr>
          <w:rFonts w:ascii="Arial" w:cs="Arial" w:eastAsia="Arial" w:hAnsi="Arial"/>
          <w:sz w:val="22"/>
          <w:szCs w:val="22"/>
          <w:rtl w:val="0"/>
        </w:rPr>
        <w:t xml:space="preserve">Toda la información requerida se enviará electrónicamente a través del formulario disponible en la página web de PEDECIBA hasta el día </w:t>
      </w:r>
      <w:r w:rsidDel="00000000" w:rsidR="00000000" w:rsidRPr="00000000">
        <w:rPr>
          <w:rFonts w:ascii="Arial" w:cs="Arial" w:eastAsia="Arial" w:hAnsi="Arial"/>
          <w:b w:val="1"/>
          <w:i w:val="1"/>
          <w:sz w:val="22"/>
          <w:szCs w:val="22"/>
          <w:rtl w:val="0"/>
        </w:rPr>
        <w:t xml:space="preserve">viernes 23 de mayo de 2025 a las 14 hs.</w:t>
      </w:r>
    </w:p>
    <w:p w:rsidR="00000000" w:rsidDel="00000000" w:rsidP="00000000" w:rsidRDefault="00000000" w:rsidRPr="00000000" w14:paraId="00000010">
      <w:pPr>
        <w:spacing w:after="153" w:line="276" w:lineRule="auto"/>
        <w:ind w:left="-1133.8582677165355" w:right="-562.7952755905511" w:firstLine="0"/>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1">
      <w:pPr>
        <w:spacing w:after="153" w:line="276" w:lineRule="auto"/>
        <w:ind w:left="-1133.8582677165355" w:right="-562.7952755905511" w:firstLine="0"/>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2">
      <w:pPr>
        <w:spacing w:after="153" w:line="276" w:lineRule="auto"/>
        <w:ind w:left="-1133.8582677165355" w:right="-562.7952755905511" w:firstLine="0"/>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3">
      <w:pPr>
        <w:spacing w:after="153" w:line="276" w:lineRule="auto"/>
        <w:ind w:left="-1133.8582677165355" w:right="-562.7952755905511" w:firstLine="0"/>
        <w:jc w:val="both"/>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4">
      <w:pPr>
        <w:spacing w:after="153" w:lineRule="auto"/>
        <w:ind w:left="-1133.8582677165355" w:right="-562.7952755905511" w:firstLine="0"/>
        <w:jc w:val="both"/>
        <w:rPr>
          <w:rFonts w:ascii="Arial" w:cs="Arial" w:eastAsia="Arial" w:hAnsi="Arial"/>
        </w:rPr>
      </w:pPr>
      <w:r w:rsidDel="00000000" w:rsidR="00000000" w:rsidRPr="00000000">
        <w:rPr>
          <w:rFonts w:ascii="Arial" w:cs="Arial" w:eastAsia="Arial" w:hAnsi="Arial"/>
          <w:sz w:val="22"/>
          <w:szCs w:val="22"/>
          <w:vertAlign w:val="superscript"/>
          <w:rtl w:val="0"/>
        </w:rPr>
        <w:t xml:space="preserve">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18"/>
          <w:szCs w:val="18"/>
          <w:rtl w:val="0"/>
        </w:rPr>
        <w:t xml:space="preserve">Área Biología: Se respetará la política de género propuesta. Cumplida ésta, se propone aplicar un criterio de proporcionalidad en relación al número de propuestas por sede geográfica, con un mínimo de un investigador por sede, que cumpla con los requerimientos mínimos del llamado.</w:t>
      </w:r>
      <w:r w:rsidDel="00000000" w:rsidR="00000000" w:rsidRPr="00000000">
        <w:rPr>
          <w:rtl w:val="0"/>
        </w:rPr>
      </w:r>
    </w:p>
    <w:sectPr>
      <w:headerReference r:id="rId9" w:type="default"/>
      <w:headerReference r:id="rId10" w:type="even"/>
      <w:footerReference r:id="rId11" w:type="default"/>
      <w:footerReference r:id="rId12" w:type="first"/>
      <w:footerReference r:id="rId13" w:type="even"/>
      <w:pgSz w:h="16838" w:w="11906" w:orient="portrait"/>
      <w:pgMar w:bottom="0" w:top="0" w:left="1701" w:right="1144" w:header="0" w:footer="113.38582677165356"/>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arcela Peláez" w:id="0" w:date="2025-04-23T16:31:43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 Despegue 2024</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pBdr>
        <w:top w:color="000000" w:space="0" w:sz="4" w:val="single"/>
        <w:left w:color="000000" w:space="0" w:sz="0" w:val="none"/>
        <w:bottom w:color="000000" w:space="0" w:sz="0" w:val="none"/>
        <w:right w:color="000000" w:space="0" w:sz="0" w:val="none"/>
      </w:pBdr>
      <w:tabs>
        <w:tab w:val="center" w:leader="none" w:pos="4252"/>
        <w:tab w:val="right" w:leader="none" w:pos="8504"/>
      </w:tabs>
      <w:jc w:val="center"/>
      <w:rPr/>
    </w:pPr>
    <w:r w:rsidDel="00000000" w:rsidR="00000000" w:rsidRPr="00000000">
      <w:rPr>
        <w:rFonts w:ascii="Arial" w:cs="Arial" w:eastAsia="Arial" w:hAnsi="Arial"/>
        <w:color w:val="0000ff"/>
        <w:sz w:val="16"/>
        <w:szCs w:val="16"/>
        <w:rtl w:val="0"/>
      </w:rPr>
      <w:t xml:space="preserve">Isidoro de María 1614, Edif. Anexo J. P. Saenz, Facultad de Química, </w:t>
    </w:r>
    <w:r w:rsidDel="00000000" w:rsidR="00000000" w:rsidRPr="00000000">
      <w:rPr>
        <w:rtl w:val="0"/>
      </w:rPr>
    </w:r>
  </w:p>
  <w:p w:rsidR="00000000" w:rsidDel="00000000" w:rsidP="00000000" w:rsidRDefault="00000000" w:rsidRPr="00000000" w14:paraId="00000026">
    <w:pPr>
      <w:pBdr>
        <w:top w:color="000000" w:space="0" w:sz="4" w:val="single"/>
        <w:left w:color="000000" w:space="0" w:sz="0" w:val="none"/>
        <w:bottom w:color="000000" w:space="0" w:sz="0" w:val="none"/>
        <w:right w:color="000000" w:space="0" w:sz="0" w:val="none"/>
      </w:pBdr>
      <w:tabs>
        <w:tab w:val="center" w:leader="none" w:pos="4252"/>
        <w:tab w:val="right" w:leader="none" w:pos="8504"/>
      </w:tabs>
      <w:jc w:val="center"/>
      <w:rPr/>
    </w:pPr>
    <w:r w:rsidDel="00000000" w:rsidR="00000000" w:rsidRPr="00000000">
      <w:rPr>
        <w:rFonts w:ascii="Arial" w:cs="Arial" w:eastAsia="Arial" w:hAnsi="Arial"/>
        <w:color w:val="0000ff"/>
        <w:sz w:val="16"/>
        <w:szCs w:val="16"/>
        <w:rtl w:val="0"/>
      </w:rPr>
      <w:t xml:space="preserve">11800 Montevideo, URUGUAY</w:t>
    </w:r>
    <w:r w:rsidDel="00000000" w:rsidR="00000000" w:rsidRPr="00000000">
      <w:rPr>
        <w:rtl w:val="0"/>
      </w:rPr>
    </w:r>
  </w:p>
  <w:p w:rsidR="00000000" w:rsidDel="00000000" w:rsidP="00000000" w:rsidRDefault="00000000" w:rsidRPr="00000000" w14:paraId="00000027">
    <w:pPr>
      <w:tabs>
        <w:tab w:val="center" w:leader="none" w:pos="4252"/>
        <w:tab w:val="right" w:leader="none" w:pos="8504"/>
      </w:tabs>
      <w:jc w:val="center"/>
      <w:rPr/>
    </w:pPr>
    <w:r w:rsidDel="00000000" w:rsidR="00000000" w:rsidRPr="00000000">
      <w:rPr>
        <w:rFonts w:ascii="Arial" w:cs="Arial" w:eastAsia="Arial" w:hAnsi="Arial"/>
        <w:color w:val="0000ff"/>
        <w:sz w:val="16"/>
        <w:szCs w:val="16"/>
        <w:rtl w:val="0"/>
      </w:rPr>
      <w:t xml:space="preserve">Teléfonos: (+598) 2924 1884, int. 1612</w:t>
    </w:r>
    <w:r w:rsidDel="00000000" w:rsidR="00000000" w:rsidRPr="00000000">
      <w:rPr>
        <w:rtl w:val="0"/>
      </w:rPr>
    </w:r>
  </w:p>
  <w:p w:rsidR="00000000" w:rsidDel="00000000" w:rsidP="00000000" w:rsidRDefault="00000000" w:rsidRPr="00000000" w14:paraId="00000028">
    <w:pPr>
      <w:tabs>
        <w:tab w:val="center" w:leader="none" w:pos="4252"/>
        <w:tab w:val="right" w:leader="none" w:pos="8504"/>
      </w:tabs>
      <w:jc w:val="center"/>
      <w:rPr/>
    </w:pPr>
    <w:r w:rsidDel="00000000" w:rsidR="00000000" w:rsidRPr="00000000">
      <w:rPr>
        <w:rFonts w:ascii="Arial" w:cs="Arial" w:eastAsia="Arial" w:hAnsi="Arial"/>
        <w:color w:val="0000ff"/>
        <w:sz w:val="16"/>
        <w:szCs w:val="16"/>
        <w:rtl w:val="0"/>
      </w:rPr>
      <w:t xml:space="preserve">Página web: </w:t>
    </w:r>
    <w:hyperlink r:id="rId1">
      <w:r w:rsidDel="00000000" w:rsidR="00000000" w:rsidRPr="00000000">
        <w:rPr>
          <w:rFonts w:ascii="Arial" w:cs="Arial" w:eastAsia="Arial" w:hAnsi="Arial"/>
          <w:color w:val="0000ff"/>
          <w:sz w:val="16"/>
          <w:szCs w:val="16"/>
          <w:u w:val="single"/>
          <w:rtl w:val="0"/>
        </w:rPr>
        <w:t xml:space="preserve">www.pedeciba.edu.uy</w:t>
      </w:r>
    </w:hyperlink>
    <w:r w:rsidDel="00000000" w:rsidR="00000000" w:rsidRPr="00000000">
      <w:rPr>
        <w:rFonts w:ascii="Arial" w:cs="Arial" w:eastAsia="Arial" w:hAnsi="Arial"/>
        <w:color w:val="0000ff"/>
        <w:sz w:val="16"/>
        <w:szCs w:val="16"/>
        <w:rtl w:val="0"/>
      </w:rPr>
      <w:t xml:space="preserve"> - Correo electrónico: </w:t>
    </w:r>
    <w:hyperlink r:id="rId2">
      <w:r w:rsidDel="00000000" w:rsidR="00000000" w:rsidRPr="00000000">
        <w:rPr>
          <w:rFonts w:ascii="Arial" w:cs="Arial" w:eastAsia="Arial" w:hAnsi="Arial"/>
          <w:color w:val="0000ff"/>
          <w:sz w:val="16"/>
          <w:szCs w:val="16"/>
          <w:u w:val="single"/>
          <w:rtl w:val="0"/>
        </w:rPr>
        <w:t xml:space="preserve">pedeciba@pedeciba.edu.uy</w:t>
      </w:r>
    </w:hyperlink>
    <w:r w:rsidDel="00000000" w:rsidR="00000000" w:rsidRPr="00000000">
      <w:rPr>
        <w:rFonts w:ascii="Arial" w:cs="Arial" w:eastAsia="Arial" w:hAnsi="Arial"/>
        <w:color w:val="0000ff"/>
        <w:sz w:val="16"/>
        <w:szCs w:val="16"/>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widowControl w:val="0"/>
      <w:spacing w:line="276" w:lineRule="auto"/>
      <w:rPr>
        <w:rFonts w:ascii="Arial" w:cs="Arial" w:eastAsia="Arial" w:hAnsi="Arial"/>
        <w:sz w:val="22"/>
        <w:szCs w:val="22"/>
      </w:rPr>
    </w:pPr>
    <w:r w:rsidDel="00000000" w:rsidR="00000000" w:rsidRPr="00000000">
      <w:rPr>
        <w:rtl w:val="0"/>
      </w:rPr>
    </w:r>
  </w:p>
  <w:tbl>
    <w:tblPr>
      <w:tblStyle w:val="Table1"/>
      <w:tblW w:w="8721.0" w:type="dxa"/>
      <w:jc w:val="left"/>
      <w:tblInd w:w="-108.0" w:type="dxa"/>
      <w:tblLayout w:type="fixed"/>
      <w:tblLook w:val="0000"/>
    </w:tblPr>
    <w:tblGrid>
      <w:gridCol w:w="1951"/>
      <w:gridCol w:w="6770"/>
      <w:tblGridChange w:id="0">
        <w:tblGrid>
          <w:gridCol w:w="1951"/>
          <w:gridCol w:w="6770"/>
        </w:tblGrid>
      </w:tblGridChange>
    </w:tblGrid>
    <w:tr>
      <w:trPr>
        <w:cantSplit w:val="0"/>
        <w:trHeight w:val="2460" w:hRule="atLeast"/>
        <w:tblHeader w:val="0"/>
      </w:trPr>
      <w:tc>
        <w:tcPr>
          <w:shd w:fill="auto" w:val="clear"/>
        </w:tcPr>
        <w:p w:rsidR="00000000" w:rsidDel="00000000" w:rsidP="00000000" w:rsidRDefault="00000000" w:rsidRPr="00000000" w14:paraId="00000016">
          <w:pPr>
            <w:rPr>
              <w:rFonts w:ascii="Arial" w:cs="Arial" w:eastAsia="Arial" w:hAnsi="Arial"/>
              <w:smallCaps w:val="1"/>
              <w:color w:val="0000ff"/>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-57142</wp:posOffset>
                </wp:positionH>
                <wp:positionV relativeFrom="paragraph">
                  <wp:posOffset>48260</wp:posOffset>
                </wp:positionV>
                <wp:extent cx="829628" cy="1076616"/>
                <wp:effectExtent b="0" l="0" r="0" t="0"/>
                <wp:wrapSquare wrapText="bothSides" distB="0" distT="0" distL="0" distR="0"/>
                <wp:docPr id="7" name="image1.png"/>
                <a:graphic>
                  <a:graphicData uri="http://schemas.openxmlformats.org/drawingml/2006/picture">
                    <pic:pic>
                      <pic:nvPicPr>
                        <pic:cNvPr id="0" name="image1.png"/>
                        <pic:cNvPicPr preferRelativeResize="0"/>
                      </pic:nvPicPr>
                      <pic:blipFill>
                        <a:blip r:embed="rId1"/>
                        <a:srcRect b="32441" l="22439" r="12852" t="8210"/>
                        <a:stretch>
                          <a:fillRect/>
                        </a:stretch>
                      </pic:blipFill>
                      <pic:spPr>
                        <a:xfrm>
                          <a:off x="0" y="0"/>
                          <a:ext cx="829628" cy="1076616"/>
                        </a:xfrm>
                        <a:prstGeom prst="rect"/>
                        <a:ln/>
                      </pic:spPr>
                    </pic:pic>
                  </a:graphicData>
                </a:graphic>
              </wp:anchor>
            </w:drawing>
          </w:r>
        </w:p>
      </w:tc>
      <w:tc>
        <w:tcPr>
          <w:shd w:fill="auto" w:val="clear"/>
        </w:tcPr>
        <w:p w:rsidR="00000000" w:rsidDel="00000000" w:rsidP="00000000" w:rsidRDefault="00000000" w:rsidRPr="00000000" w14:paraId="00000017">
          <w:pPr>
            <w:jc w:val="center"/>
            <w:rPr>
              <w:rFonts w:ascii="Arial" w:cs="Arial" w:eastAsia="Arial" w:hAnsi="Arial"/>
              <w:b w:val="1"/>
              <w:smallCaps w:val="1"/>
              <w:color w:val="0000ff"/>
              <w:sz w:val="22"/>
              <w:szCs w:val="22"/>
              <w:u w:val="single"/>
            </w:rPr>
          </w:pPr>
          <w:r w:rsidDel="00000000" w:rsidR="00000000" w:rsidRPr="00000000">
            <w:rPr>
              <w:rtl w:val="0"/>
            </w:rPr>
          </w:r>
        </w:p>
        <w:p w:rsidR="00000000" w:rsidDel="00000000" w:rsidP="00000000" w:rsidRDefault="00000000" w:rsidRPr="00000000" w14:paraId="00000018">
          <w:pPr>
            <w:jc w:val="center"/>
            <w:rPr>
              <w:rFonts w:ascii="Arial" w:cs="Arial" w:eastAsia="Arial" w:hAnsi="Arial"/>
              <w:smallCaps w:val="1"/>
              <w:color w:val="0000ff"/>
              <w:sz w:val="22"/>
              <w:szCs w:val="22"/>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mallCaps w:val="1"/>
              <w:color w:val="0000ff"/>
              <w:sz w:val="22"/>
              <w:szCs w:val="22"/>
            </w:rPr>
          </w:pPr>
          <w:r w:rsidDel="00000000" w:rsidR="00000000" w:rsidRPr="00000000">
            <w:rPr>
              <w:rtl w:val="0"/>
            </w:rPr>
          </w:r>
        </w:p>
        <w:p w:rsidR="00000000" w:rsidDel="00000000" w:rsidP="00000000" w:rsidRDefault="00000000" w:rsidRPr="00000000" w14:paraId="0000001A">
          <w:pPr>
            <w:jc w:val="center"/>
            <w:rPr>
              <w:rFonts w:ascii="Arial" w:cs="Arial" w:eastAsia="Arial" w:hAnsi="Arial"/>
              <w:smallCaps w:val="1"/>
              <w:color w:val="0000ff"/>
              <w:sz w:val="22"/>
              <w:szCs w:val="22"/>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Fonts w:ascii="Arial" w:cs="Arial" w:eastAsia="Arial" w:hAnsi="Arial"/>
              <w:smallCaps w:val="1"/>
              <w:color w:val="0000ff"/>
              <w:sz w:val="22"/>
              <w:szCs w:val="22"/>
              <w:rtl w:val="0"/>
            </w:rPr>
            <w:t xml:space="preserve">PROGRAMA DE DESARROLLO DE LAS CIENCIAS BÁSICAS</w:t>
          </w:r>
          <w:r w:rsidDel="00000000" w:rsidR="00000000" w:rsidRPr="00000000">
            <w:rPr>
              <w:rtl w:val="0"/>
            </w:rPr>
          </w:r>
        </w:p>
        <w:p w:rsidR="00000000" w:rsidDel="00000000" w:rsidP="00000000" w:rsidRDefault="00000000" w:rsidRPr="00000000" w14:paraId="0000001C">
          <w:pPr>
            <w:jc w:val="center"/>
            <w:rPr/>
          </w:pPr>
          <w:r w:rsidDel="00000000" w:rsidR="00000000" w:rsidRPr="00000000">
            <w:rPr>
              <w:rFonts w:ascii="Arial" w:cs="Arial" w:eastAsia="Arial" w:hAnsi="Arial"/>
              <w:color w:val="0000ff"/>
              <w:sz w:val="22"/>
              <w:szCs w:val="22"/>
              <w:rtl w:val="0"/>
            </w:rPr>
            <w:t xml:space="preserve">Ministerio de Educación y Cultura - Universidad de la República</w:t>
          </w:r>
          <w:r w:rsidDel="00000000" w:rsidR="00000000" w:rsidRPr="00000000">
            <w:rPr>
              <w:rtl w:val="0"/>
            </w:rPr>
          </w:r>
        </w:p>
        <w:p w:rsidR="00000000" w:rsidDel="00000000" w:rsidP="00000000" w:rsidRDefault="00000000" w:rsidRPr="00000000" w14:paraId="0000001D">
          <w:pPr>
            <w:jc w:val="center"/>
            <w:rPr>
              <w:rFonts w:ascii="Arial" w:cs="Arial" w:eastAsia="Arial" w:hAnsi="Arial"/>
              <w:color w:val="0000ff"/>
              <w:sz w:val="22"/>
              <w:szCs w:val="22"/>
            </w:rPr>
          </w:pPr>
          <w:r w:rsidDel="00000000" w:rsidR="00000000" w:rsidRPr="00000000">
            <w:rPr>
              <w:rtl w:val="0"/>
            </w:rPr>
          </w:r>
        </w:p>
        <w:p w:rsidR="00000000" w:rsidDel="00000000" w:rsidP="00000000" w:rsidRDefault="00000000" w:rsidRPr="00000000" w14:paraId="0000001E">
          <w:pPr>
            <w:rPr/>
          </w:pPr>
          <w:r w:rsidDel="00000000" w:rsidR="00000000" w:rsidRPr="00000000">
            <w:rPr>
              <w:rFonts w:ascii="Arial" w:cs="Arial" w:eastAsia="Arial" w:hAnsi="Arial"/>
              <w:color w:val="0000ff"/>
              <w:sz w:val="22"/>
              <w:szCs w:val="22"/>
              <w:rtl w:val="0"/>
            </w:rPr>
            <w:t xml:space="preserve">   </w:t>
          </w:r>
          <w:r w:rsidDel="00000000" w:rsidR="00000000" w:rsidRPr="00000000">
            <w:rPr>
              <w:rtl w:val="0"/>
            </w:rPr>
          </w:r>
        </w:p>
      </w:tc>
    </w:tr>
  </w:tbl>
  <w:p w:rsidR="00000000" w:rsidDel="00000000" w:rsidP="00000000" w:rsidRDefault="00000000" w:rsidRPr="00000000" w14:paraId="0000001F">
    <w:pPr>
      <w:spacing w:line="276"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98" w:firstLine="0"/>
      </w:pPr>
      <w:rPr>
        <w:rFonts w:ascii="Arial" w:cs="Arial" w:eastAsia="Arial" w:hAnsi="Arial"/>
        <w:b w:val="1"/>
        <w:i w:val="0"/>
        <w:strike w:val="0"/>
        <w:color w:val="000000"/>
        <w:sz w:val="22"/>
        <w:szCs w:val="22"/>
        <w:u w:val="none"/>
        <w:vertAlign w:val="baseline"/>
      </w:rPr>
    </w:lvl>
    <w:lvl w:ilvl="1">
      <w:start w:val="1"/>
      <w:numFmt w:val="lowerLetter"/>
      <w:lvlText w:val="%2"/>
      <w:lvlJc w:val="left"/>
      <w:pPr>
        <w:ind w:left="1324" w:firstLine="0"/>
      </w:pPr>
      <w:rPr>
        <w:b w:val="0"/>
        <w:i w:val="0"/>
        <w:strike w:val="0"/>
        <w:color w:val="000000"/>
        <w:sz w:val="20"/>
        <w:szCs w:val="20"/>
        <w:u w:val="none"/>
        <w:vertAlign w:val="baseline"/>
      </w:rPr>
    </w:lvl>
    <w:lvl w:ilvl="2">
      <w:start w:val="1"/>
      <w:numFmt w:val="lowerRoman"/>
      <w:lvlText w:val="%3"/>
      <w:lvlJc w:val="left"/>
      <w:pPr>
        <w:ind w:left="2044" w:firstLine="0"/>
      </w:pPr>
      <w:rPr>
        <w:b w:val="0"/>
        <w:i w:val="0"/>
        <w:strike w:val="0"/>
        <w:color w:val="000000"/>
        <w:sz w:val="20"/>
        <w:szCs w:val="20"/>
        <w:u w:val="none"/>
        <w:vertAlign w:val="baseline"/>
      </w:rPr>
    </w:lvl>
    <w:lvl w:ilvl="3">
      <w:start w:val="1"/>
      <w:numFmt w:val="decimal"/>
      <w:lvlText w:val="%4"/>
      <w:lvlJc w:val="left"/>
      <w:pPr>
        <w:ind w:left="2764" w:firstLine="0"/>
      </w:pPr>
      <w:rPr>
        <w:b w:val="0"/>
        <w:i w:val="0"/>
        <w:strike w:val="0"/>
        <w:color w:val="000000"/>
        <w:sz w:val="20"/>
        <w:szCs w:val="20"/>
        <w:u w:val="none"/>
        <w:vertAlign w:val="baseline"/>
      </w:rPr>
    </w:lvl>
    <w:lvl w:ilvl="4">
      <w:start w:val="1"/>
      <w:numFmt w:val="lowerLetter"/>
      <w:lvlText w:val="%5"/>
      <w:lvlJc w:val="left"/>
      <w:pPr>
        <w:ind w:left="3484" w:firstLine="0"/>
      </w:pPr>
      <w:rPr>
        <w:b w:val="0"/>
        <w:i w:val="0"/>
        <w:strike w:val="0"/>
        <w:color w:val="000000"/>
        <w:sz w:val="20"/>
        <w:szCs w:val="20"/>
        <w:u w:val="none"/>
        <w:vertAlign w:val="baseline"/>
      </w:rPr>
    </w:lvl>
    <w:lvl w:ilvl="5">
      <w:start w:val="1"/>
      <w:numFmt w:val="lowerRoman"/>
      <w:lvlText w:val="%6"/>
      <w:lvlJc w:val="left"/>
      <w:pPr>
        <w:ind w:left="4204" w:firstLine="0"/>
      </w:pPr>
      <w:rPr>
        <w:b w:val="0"/>
        <w:i w:val="0"/>
        <w:strike w:val="0"/>
        <w:color w:val="000000"/>
        <w:sz w:val="20"/>
        <w:szCs w:val="20"/>
        <w:u w:val="none"/>
        <w:vertAlign w:val="baseline"/>
      </w:rPr>
    </w:lvl>
    <w:lvl w:ilvl="6">
      <w:start w:val="1"/>
      <w:numFmt w:val="decimal"/>
      <w:lvlText w:val="%7"/>
      <w:lvlJc w:val="left"/>
      <w:pPr>
        <w:ind w:left="4924" w:firstLine="0"/>
      </w:pPr>
      <w:rPr>
        <w:b w:val="0"/>
        <w:i w:val="0"/>
        <w:strike w:val="0"/>
        <w:color w:val="000000"/>
        <w:sz w:val="20"/>
        <w:szCs w:val="20"/>
        <w:u w:val="none"/>
        <w:vertAlign w:val="baseline"/>
      </w:rPr>
    </w:lvl>
    <w:lvl w:ilvl="7">
      <w:start w:val="1"/>
      <w:numFmt w:val="lowerLetter"/>
      <w:lvlText w:val="%8"/>
      <w:lvlJc w:val="left"/>
      <w:pPr>
        <w:ind w:left="5644" w:firstLine="0"/>
      </w:pPr>
      <w:rPr>
        <w:b w:val="0"/>
        <w:i w:val="0"/>
        <w:strike w:val="0"/>
        <w:color w:val="000000"/>
        <w:sz w:val="20"/>
        <w:szCs w:val="20"/>
        <w:u w:val="none"/>
        <w:vertAlign w:val="baseline"/>
      </w:rPr>
    </w:lvl>
    <w:lvl w:ilvl="8">
      <w:start w:val="1"/>
      <w:numFmt w:val="lowerRoman"/>
      <w:lvlText w:val="%9"/>
      <w:lvlJc w:val="left"/>
      <w:pPr>
        <w:ind w:left="6364" w:firstLine="0"/>
      </w:pPr>
      <w:rPr>
        <w:b w:val="0"/>
        <w:i w:val="0"/>
        <w:strike w:val="0"/>
        <w:color w:val="000000"/>
        <w:sz w:val="20"/>
        <w:szCs w:val="20"/>
        <w:u w:val="none"/>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hyperlink" Target="http://www.pedeciba.edu.uy/" TargetMode="External"/><Relationship Id="rId2" Type="http://schemas.openxmlformats.org/officeDocument/2006/relationships/hyperlink" Target="mailto:pedeciba@pedeciba.edu.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ndoDBjdUSYHgGeqZwzKgJjIg==">CgMxLjAaJwoBMBIiCiAIBCocCgtBQUFCaVZyazNxcxAIGgtBQUFCaVZyazNxcyL4AQoLQUFBQmlWcmszcXMSyQEKC0FBQUJpVnJrM3FzEgtBQUFCaVZyazNxcxodCgl0ZXh0L2h0bWwSEG5pIERlc3BlZ3VlIDIwMjQiHgoKdGV4dC9wbGFpbhIQbmkgRGVzcGVndWUgMjAyNCobIhUxMDQxNTI3NTY1MTM0ODk5MTk2OTUoADgAMM7e9pvmMjjO3vab5jJKEgoKdGV4dC9wbGFpbhIEMjAyM1oLdGhhN3Rzb3dwZW5yAiAAeACaAQYIABAAGACqARISEG5pIERlc3BlZ3VlIDIwMjQYzt72m+YyIM7e9pvmMkIPa2l4Lmt0MXh4Nnh5OXRmOAByITFMYUtaYmZVaVpUemFaeTBJZ3A3X0ttcnBrcVg3OGkw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2023-04-21T15:47:00Z</dcterms:created>
</cp:coreProperties>
</file>